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00" w:rsidRPr="00847600" w:rsidRDefault="00847600" w:rsidP="00847600">
      <w:pPr>
        <w:spacing w:after="0"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47600">
        <w:rPr>
          <w:rFonts w:ascii="Times New Roman" w:hAnsi="Times New Roman" w:cs="Times New Roman"/>
          <w:b/>
          <w:sz w:val="24"/>
          <w:szCs w:val="24"/>
        </w:rPr>
        <w:t>Приложение № </w:t>
      </w:r>
      <w:r w:rsidR="00D0543E">
        <w:rPr>
          <w:rFonts w:ascii="Times New Roman" w:hAnsi="Times New Roman" w:cs="Times New Roman"/>
          <w:b/>
          <w:sz w:val="24"/>
          <w:szCs w:val="24"/>
        </w:rPr>
        <w:t>2</w:t>
      </w:r>
      <w:r w:rsidRPr="008476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7600" w:rsidRPr="00847600" w:rsidRDefault="00847600" w:rsidP="00847600">
      <w:pPr>
        <w:tabs>
          <w:tab w:val="left" w:pos="5529"/>
        </w:tabs>
        <w:spacing w:after="0"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к Заданию на проектирование</w:t>
      </w:r>
    </w:p>
    <w:p w:rsidR="00536F07" w:rsidRPr="00847600" w:rsidRDefault="00847600" w:rsidP="00847600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по проекту «Студенческий квартал»</w:t>
      </w:r>
    </w:p>
    <w:p w:rsidR="00536F07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</w:t>
      </w: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4647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6652"/>
      </w:tblGrid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Сметно-нормативная база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- </w:t>
            </w:r>
            <w:r w:rsidRPr="00566D3B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566D3B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566D3B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Уровень цен, в котором составляется сметная документация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Метод пересчета в текущий уровень цен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566D3B">
                <w:rPr>
                  <w:rFonts w:ascii="Times New Roman" w:hAnsi="Times New Roman" w:cs="Times New Roman"/>
                </w:rPr>
                <w:t xml:space="preserve">Основными </w:t>
              </w:r>
              <w:r w:rsidRPr="00566D3B">
                <w:rPr>
                  <w:rFonts w:ascii="Times New Roman" w:hAnsi="Times New Roman" w:cs="Times New Roman"/>
                </w:rPr>
                <w:lastRenderedPageBreak/>
                <w:t>положениями</w:t>
              </w:r>
            </w:hyperlink>
            <w:r w:rsidRPr="00566D3B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Сводный сметный расчет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Объектные сметы (расчеты)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Локальные сметы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</w:t>
            </w:r>
            <w:r w:rsidRPr="00566D3B">
              <w:rPr>
                <w:rFonts w:ascii="Times New Roman" w:hAnsi="Times New Roman" w:cs="Times New Roman"/>
              </w:rPr>
              <w:lastRenderedPageBreak/>
              <w:t xml:space="preserve">строительства (далее -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Применение объектов – аналогов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Материальные ресурсы, не учтенные расценками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Стоимость оборудования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66D3B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566D3B">
              <w:rPr>
                <w:rFonts w:ascii="Times New Roman" w:hAnsi="Times New Roman" w:cs="Times New Roman"/>
              </w:rPr>
              <w:lastRenderedPageBreak/>
              <w:t>определенных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Накладные расходы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Сметная прибыль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Затраты на временные здания и сооружения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Зимнее удорожание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Формат представления сметной документации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536F07" w:rsidRPr="00566D3B" w:rsidRDefault="00536F07" w:rsidP="0053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-284"/>
        <w:rPr>
          <w:rFonts w:ascii="Times New Roman" w:hAnsi="Times New Roman" w:cs="Times New Roman"/>
        </w:rPr>
      </w:pP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8F1A53" w:rsidRPr="008F1A53" w:rsidRDefault="00536F07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2. </w:t>
      </w:r>
      <w:proofErr w:type="gramStart"/>
      <w:r w:rsidR="008F1A53" w:rsidRPr="008F1A53">
        <w:rPr>
          <w:rFonts w:ascii="Times New Roman" w:hAnsi="Times New Roman" w:cs="Times New Roman"/>
        </w:rPr>
        <w:t xml:space="preserve"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утверждаемых  Московской областной комиссией по индексации цен и ценообразованию в строительстве.        </w:t>
      </w:r>
      <w:proofErr w:type="gramEnd"/>
    </w:p>
    <w:p w:rsidR="008F1A53" w:rsidRPr="0009430C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8F1A53">
        <w:rPr>
          <w:rFonts w:ascii="Times New Roman" w:hAnsi="Times New Roman" w:cs="Times New Roman"/>
        </w:rPr>
        <w:t xml:space="preserve">         </w:t>
      </w:r>
      <w:proofErr w:type="gramStart"/>
      <w:r w:rsidRPr="008F1A53">
        <w:rPr>
          <w:rFonts w:ascii="Times New Roman" w:hAnsi="Times New Roman" w:cs="Times New Roman"/>
        </w:rPr>
        <w:t>Расчетные индексы пересчета  в текущий уровень цен базисной стоимости строительства, капитального ремонта, реконструкции, определённой по сборникам ФЕР-2001, объектов инновационного центра «</w:t>
      </w:r>
      <w:proofErr w:type="spellStart"/>
      <w:r w:rsidRPr="008F1A53">
        <w:rPr>
          <w:rFonts w:ascii="Times New Roman" w:hAnsi="Times New Roman" w:cs="Times New Roman"/>
        </w:rPr>
        <w:t>Сколково</w:t>
      </w:r>
      <w:proofErr w:type="spellEnd"/>
      <w:r w:rsidRPr="008F1A53">
        <w:rPr>
          <w:rFonts w:ascii="Times New Roman" w:hAnsi="Times New Roman" w:cs="Times New Roman"/>
        </w:rPr>
        <w:t>», финансируемых  за счет средств субсидий,  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8F1A53" w:rsidRPr="0009430C" w:rsidRDefault="008F1A53" w:rsidP="0009430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>При включении в Акты выполненных строительно-монтажных работ по форме КС-2 стоимости оборудования и материалов, отсутствующих в сметной нормативной базе, указывается  ссылка  на  обосновывающие  и прикладываемые к  акту  документы: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 xml:space="preserve">реестр заверенных  копий  первичных учетных  документов  (счетов-фактур, накладных, договоров поставки и т.д.) по факту их приобретения;    </w:t>
      </w:r>
    </w:p>
    <w:p w:rsidR="008F1A53" w:rsidRPr="0009430C" w:rsidRDefault="008F1A53" w:rsidP="0009430C">
      <w:pPr>
        <w:pStyle w:val="a5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  <w:t>либо конъюнктурный анализ по выбору поставщика оборудования или материалов, отсутствующих в нормативной базе,  стоимость которых была включена в проектную или рабочую документацию на основании  конъюнктурного анализа по выбору поставщика оборудования или материал</w:t>
      </w:r>
      <w:r>
        <w:rPr>
          <w:rFonts w:ascii="Times New Roman" w:hAnsi="Times New Roman" w:cs="Times New Roman"/>
        </w:rPr>
        <w:t>ов.</w:t>
      </w:r>
    </w:p>
    <w:p w:rsidR="00536F07" w:rsidRPr="00566D3B" w:rsidRDefault="008F1A53" w:rsidP="008F1A53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09430C">
        <w:rPr>
          <w:rFonts w:ascii="Times New Roman" w:hAnsi="Times New Roman" w:cs="Times New Roman"/>
        </w:rPr>
        <w:tab/>
      </w:r>
      <w:r w:rsidR="00536F07" w:rsidRPr="00566D3B">
        <w:rPr>
          <w:rFonts w:ascii="Times New Roman" w:hAnsi="Times New Roman" w:cs="Times New Roman"/>
        </w:rPr>
        <w:t xml:space="preserve">3. </w:t>
      </w:r>
      <w:proofErr w:type="gramStart"/>
      <w:r w:rsidR="00536F07" w:rsidRPr="00566D3B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="00536F07" w:rsidRPr="00566D3B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4. </w:t>
      </w:r>
      <w:proofErr w:type="gramStart"/>
      <w:r w:rsidRPr="00566D3B">
        <w:rPr>
          <w:rFonts w:ascii="Times New Roman" w:hAnsi="Times New Roman" w:cs="Times New Roman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</w:t>
      </w:r>
      <w:r w:rsidRPr="00566D3B">
        <w:rPr>
          <w:rFonts w:ascii="Times New Roman" w:hAnsi="Times New Roman" w:cs="Times New Roman"/>
        </w:rPr>
        <w:lastRenderedPageBreak/>
        <w:t>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566D3B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5. </w:t>
      </w:r>
      <w:proofErr w:type="gramStart"/>
      <w:r w:rsidRPr="00566D3B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536F07" w:rsidRPr="00566D3B" w:rsidRDefault="00536F07" w:rsidP="00536F07">
      <w:pPr>
        <w:ind w:right="-284"/>
      </w:pPr>
    </w:p>
    <w:p w:rsidR="00536F07" w:rsidRPr="00A45709" w:rsidRDefault="00536F07" w:rsidP="0053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C3E" w:rsidRDefault="00271C3E"/>
    <w:sectPr w:rsidR="00271C3E" w:rsidSect="00F417C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D1E39"/>
    <w:multiLevelType w:val="hybridMultilevel"/>
    <w:tmpl w:val="2E20DC1E"/>
    <w:lvl w:ilvl="0" w:tplc="6E702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E"/>
    <w:rsid w:val="0009430C"/>
    <w:rsid w:val="00271C3E"/>
    <w:rsid w:val="00285CCE"/>
    <w:rsid w:val="00536F07"/>
    <w:rsid w:val="00847600"/>
    <w:rsid w:val="008F1A53"/>
    <w:rsid w:val="00D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A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2163</Words>
  <Characters>12335</Characters>
  <Application>Microsoft Office Word</Application>
  <DocSecurity>0</DocSecurity>
  <Lines>102</Lines>
  <Paragraphs>28</Paragraphs>
  <ScaleCrop>false</ScaleCrop>
  <Company/>
  <LinksUpToDate>false</LinksUpToDate>
  <CharactersWithSpaces>14470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Kalashnikov Sergey</cp:lastModifiedBy>
  <cp:revision>6</cp:revision>
  <dcterms:created xsi:type="dcterms:W3CDTF">2013-04-19T05:41:00Z</dcterms:created>
  <dcterms:modified xsi:type="dcterms:W3CDTF">2013-06-06T05:34:00Z</dcterms:modified>
</cp:coreProperties>
</file>